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495969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45D3" w:rsidRPr="00495969" w14:paraId="29A6199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</w:tcPr>
          <w:p w14:paraId="46C23804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3EBD70F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</w:tcPr>
          <w:p w14:paraId="64317A9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5938FB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6A345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0B7AAE6" w14:textId="2E25BFBF" w:rsidR="008C45D3" w:rsidRPr="008F2D6E" w:rsidRDefault="00BA0828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BA0828">
              <w:rPr>
                <w:b/>
                <w:bCs/>
                <w:color w:val="00B0F0"/>
              </w:rPr>
              <w:t xml:space="preserve">MİLLİ MÜCADELE VE ATATÜRK </w:t>
            </w:r>
          </w:p>
        </w:tc>
      </w:tr>
      <w:tr w:rsidR="008C45D3" w:rsidRPr="00495969" w14:paraId="4CF84AE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1A2F3E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186D724" w14:textId="19917D86" w:rsidR="008C45D3" w:rsidRPr="008F2D6E" w:rsidRDefault="00DC389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DC389F">
              <w:rPr>
                <w:b/>
                <w:bCs/>
                <w:color w:val="C00000"/>
              </w:rPr>
              <w:t>BİR MUSTAFA KEMAL VARDI</w:t>
            </w:r>
          </w:p>
        </w:tc>
      </w:tr>
      <w:tr w:rsidR="008C45D3" w:rsidRPr="00495969" w14:paraId="6A58ECB6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C5F77E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587EB41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707DE29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86BEC2B" w14:textId="2817460B" w:rsidR="008C45D3" w:rsidRPr="008F2D6E" w:rsidRDefault="00B122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31</w:t>
            </w:r>
            <w:r w:rsidRPr="0038191C">
              <w:rPr>
                <w:b/>
                <w:bCs/>
                <w:color w:val="7030A0"/>
              </w:rPr>
              <w:t xml:space="preserve"> Ekim</w:t>
            </w:r>
            <w:r>
              <w:rPr>
                <w:b/>
                <w:bCs/>
                <w:color w:val="7030A0"/>
              </w:rPr>
              <w:t xml:space="preserve">- 4 Kasım </w:t>
            </w:r>
            <w:r w:rsidRPr="00FB1012">
              <w:rPr>
                <w:b/>
                <w:bCs/>
                <w:color w:val="7030A0"/>
              </w:rPr>
              <w:t>2022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45D3" w:rsidRPr="00495969" w14:paraId="473C5B33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</w:tcPr>
          <w:p w14:paraId="3DF5384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F976C6A" w14:textId="4FA7E163" w:rsidR="00A34B05" w:rsidRPr="00A34B05" w:rsidRDefault="00A34B05" w:rsidP="00A34B05">
            <w:pPr>
              <w:rPr>
                <w:b/>
                <w:bCs/>
              </w:rPr>
            </w:pPr>
            <w:r w:rsidRPr="00A34B05">
              <w:rPr>
                <w:b/>
                <w:bCs/>
              </w:rPr>
              <w:t>T.7.3.2. Metni türün özelliklerine uygun biçimde okur.</w:t>
            </w:r>
          </w:p>
          <w:p w14:paraId="0F26D0F0" w14:textId="77777777" w:rsidR="00A34B05" w:rsidRPr="00A34B05" w:rsidRDefault="00A34B05" w:rsidP="00A34B05">
            <w:pPr>
              <w:rPr>
                <w:b/>
                <w:bCs/>
              </w:rPr>
            </w:pPr>
            <w:r w:rsidRPr="00A34B05">
              <w:rPr>
                <w:b/>
                <w:bCs/>
              </w:rPr>
              <w:t>T.7.3.5. Bağlamdan hareketle bilmediği kelime ve kelime gruplarının anlamını tahmin eder.</w:t>
            </w:r>
          </w:p>
          <w:p w14:paraId="5F2A4407" w14:textId="77777777" w:rsidR="00A34B05" w:rsidRPr="00A34B05" w:rsidRDefault="00A34B05" w:rsidP="00A34B05">
            <w:pPr>
              <w:rPr>
                <w:b/>
                <w:bCs/>
              </w:rPr>
            </w:pPr>
            <w:r w:rsidRPr="00A34B05">
              <w:rPr>
                <w:b/>
                <w:bCs/>
              </w:rPr>
              <w:t>T.7.3.8. Metindeki söz sanatlarını tespit eder.</w:t>
            </w:r>
          </w:p>
          <w:p w14:paraId="7380AD43" w14:textId="77777777" w:rsidR="00A34B05" w:rsidRPr="00A34B05" w:rsidRDefault="00A34B05" w:rsidP="00A34B05">
            <w:pPr>
              <w:rPr>
                <w:b/>
                <w:bCs/>
              </w:rPr>
            </w:pPr>
            <w:r w:rsidRPr="00A34B05">
              <w:rPr>
                <w:b/>
                <w:bCs/>
              </w:rPr>
              <w:t>T.7.3.9. Çekim eklerinin işlevlerini ayırt eder.</w:t>
            </w:r>
          </w:p>
          <w:p w14:paraId="061B4750" w14:textId="77777777" w:rsidR="00255B63" w:rsidRDefault="00A34B05" w:rsidP="00A34B05">
            <w:pPr>
              <w:rPr>
                <w:b/>
                <w:bCs/>
              </w:rPr>
            </w:pPr>
            <w:r w:rsidRPr="00A34B05">
              <w:rPr>
                <w:b/>
                <w:bCs/>
              </w:rPr>
              <w:t>a) Fiil çekim ekleri (kip ve kişi ekleri) üzerinde durulur.</w:t>
            </w:r>
          </w:p>
          <w:p w14:paraId="224C1EC7" w14:textId="77777777" w:rsidR="0047329F" w:rsidRDefault="0047329F" w:rsidP="0047329F">
            <w:pPr>
              <w:rPr>
                <w:b/>
                <w:bCs/>
              </w:rPr>
            </w:pPr>
            <w:r w:rsidRPr="0047329F">
              <w:rPr>
                <w:b/>
                <w:bCs/>
              </w:rPr>
              <w:t>T.7.4.16. Yazdıklarını</w:t>
            </w:r>
            <w:r w:rsidR="00217034">
              <w:rPr>
                <w:b/>
                <w:bCs/>
              </w:rPr>
              <w:t xml:space="preserve"> </w:t>
            </w:r>
            <w:r w:rsidRPr="0047329F">
              <w:rPr>
                <w:b/>
                <w:bCs/>
              </w:rPr>
              <w:t>düzenler. (Kİ’NİN YAZIMI</w:t>
            </w:r>
          </w:p>
          <w:p w14:paraId="2D7A4881" w14:textId="7571427A" w:rsidR="00217034" w:rsidRPr="00A34B05" w:rsidRDefault="00217034" w:rsidP="0047329F">
            <w:pPr>
              <w:rPr>
                <w:b/>
                <w:bCs/>
              </w:rPr>
            </w:pPr>
            <w:r w:rsidRPr="00217034">
              <w:rPr>
                <w:b/>
                <w:bCs/>
                <w:color w:val="FF0000"/>
              </w:rPr>
              <w:t>ATATÜRKÇÜLÜK</w:t>
            </w:r>
            <w:r>
              <w:rPr>
                <w:b/>
                <w:bCs/>
              </w:rPr>
              <w:t xml:space="preserve"> </w:t>
            </w:r>
            <w:r w:rsidR="00662416" w:rsidRPr="00662416">
              <w:rPr>
                <w:b/>
                <w:bCs/>
              </w:rPr>
              <w:t>Atatürk’ün millî ahlak konusundaki görüşlerini açıklar.</w:t>
            </w:r>
          </w:p>
        </w:tc>
      </w:tr>
      <w:tr w:rsidR="008C45D3" w:rsidRPr="00495969" w14:paraId="0A56595C" w14:textId="77777777" w:rsidTr="007A5C22">
        <w:trPr>
          <w:trHeight w:val="472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5D0455A4" w14:textId="01384474" w:rsidR="008C45D3" w:rsidRPr="00DE516B" w:rsidRDefault="00D4478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 xml:space="preserve">Anlatma, soru- cevap, problem çözme, gösterip yaptırma, tartışma, gösteri, rol yapma, </w:t>
            </w:r>
            <w:r w:rsidR="00B75DD4" w:rsidRPr="00DE516B">
              <w:rPr>
                <w:sz w:val="20"/>
                <w:szCs w:val="20"/>
              </w:rPr>
              <w:t>drama,</w:t>
            </w:r>
            <w:r w:rsidR="00B75DD4" w:rsidRPr="00B75DD4">
              <w:rPr>
                <w:sz w:val="20"/>
                <w:szCs w:val="20"/>
              </w:rPr>
              <w:t xml:space="preserve"> Kavram Havuzundan seçerek yazma</w:t>
            </w:r>
          </w:p>
        </w:tc>
      </w:tr>
      <w:tr w:rsidR="008C45D3" w:rsidRPr="00495969" w14:paraId="7ED7194A" w14:textId="77777777" w:rsidTr="007A5C22">
        <w:trPr>
          <w:trHeight w:val="516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</w:tcPr>
          <w:p w14:paraId="2DAEDDA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287A81ED" w14:textId="77777777" w:rsidR="008C45D3" w:rsidRPr="00DE516B" w:rsidRDefault="008C45D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50911BA0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5168EF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F234EE" w14:textId="69DDA6B5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2E54A7B" w14:textId="643FA543" w:rsidR="00605FA4" w:rsidRPr="008F2D6E" w:rsidRDefault="00671129" w:rsidP="00E658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3568C">
              <w:rPr>
                <w:b/>
                <w:bCs/>
              </w:rPr>
              <w:t xml:space="preserve"> </w:t>
            </w:r>
            <w:r w:rsidR="00AC0349">
              <w:rPr>
                <w:b/>
                <w:bCs/>
              </w:rPr>
              <w:t xml:space="preserve"> </w:t>
            </w:r>
            <w:r w:rsidR="00DD0EDC" w:rsidRPr="00DD0EDC">
              <w:rPr>
                <w:b/>
                <w:bCs/>
              </w:rPr>
              <w:t>Görsellerinden ve başlığından hareketle okuyacağınız metnin konusunu tahmin ediniz</w:t>
            </w:r>
            <w:r w:rsidR="00DD0EDC">
              <w:rPr>
                <w:b/>
                <w:bCs/>
              </w:rPr>
              <w:t xml:space="preserve">, denilerek derse giriş yapılacak. </w:t>
            </w:r>
            <w:r w:rsidR="007E5C32">
              <w:rPr>
                <w:b/>
                <w:bCs/>
              </w:rPr>
              <w:t xml:space="preserve">Metin vurgu ve tonlamaya dikkat edilerek okunup okutulduktan sonra ilk etkinlikte verilen sözcüklerle anlamları eşleştirilecek. </w:t>
            </w:r>
            <w:r w:rsidR="00187318">
              <w:rPr>
                <w:b/>
                <w:bCs/>
              </w:rPr>
              <w:t xml:space="preserve">2. Etkinlikte gerçek mecaz </w:t>
            </w:r>
            <w:r w:rsidR="00B91047">
              <w:rPr>
                <w:b/>
                <w:bCs/>
              </w:rPr>
              <w:t xml:space="preserve">çalışması yapılacak. 3. Etkinlikte </w:t>
            </w:r>
            <w:r w:rsidR="003518F0">
              <w:rPr>
                <w:b/>
                <w:bCs/>
              </w:rPr>
              <w:t xml:space="preserve">zıt anlamlı sözcükler bulunacak. </w:t>
            </w:r>
            <w:r w:rsidR="00DE7D1A">
              <w:rPr>
                <w:b/>
                <w:bCs/>
              </w:rPr>
              <w:t xml:space="preserve">Sonraki etkinlikte </w:t>
            </w:r>
            <w:r w:rsidR="001865F7">
              <w:rPr>
                <w:b/>
                <w:bCs/>
              </w:rPr>
              <w:t xml:space="preserve">kişileştirmeye örnekler bulunacak. </w:t>
            </w:r>
            <w:r w:rsidR="00572601">
              <w:rPr>
                <w:b/>
                <w:bCs/>
              </w:rPr>
              <w:t xml:space="preserve">5. Etkinlikte </w:t>
            </w:r>
            <w:r w:rsidR="006E25CF">
              <w:rPr>
                <w:b/>
                <w:bCs/>
              </w:rPr>
              <w:t>ki’nin yazımıyla ilgili etkinlik yapılacak</w:t>
            </w:r>
            <w:r w:rsidR="005C16B2">
              <w:rPr>
                <w:b/>
                <w:bCs/>
              </w:rPr>
              <w:t xml:space="preserve"> ve </w:t>
            </w:r>
            <w:r w:rsidR="0014171F">
              <w:rPr>
                <w:b/>
                <w:bCs/>
              </w:rPr>
              <w:t xml:space="preserve">sonraki etkinlikte dilek kiplerinin bulunduğu cümleler bulunacak. </w:t>
            </w:r>
            <w:r w:rsidR="00E8686C">
              <w:rPr>
                <w:b/>
                <w:bCs/>
              </w:rPr>
              <w:t xml:space="preserve">Son etkinlikteyse </w:t>
            </w:r>
            <w:r w:rsidR="00404D50" w:rsidRPr="00404D50">
              <w:rPr>
                <w:b/>
                <w:bCs/>
              </w:rPr>
              <w:t>Atatürk’e olan sevginizi dile getiren bir mektup ya</w:t>
            </w:r>
            <w:r w:rsidR="00404D50">
              <w:rPr>
                <w:b/>
                <w:bCs/>
              </w:rPr>
              <w:t xml:space="preserve">zmaları öğrencilerden istenecek. 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5A9557DB" w:rsidR="008C45D3" w:rsidRPr="008F2D6E" w:rsidRDefault="00290F3E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Bakacağım</w:t>
            </w:r>
            <w:r w:rsidR="009213F4">
              <w:rPr>
                <w:b/>
                <w:bCs/>
              </w:rPr>
              <w:t xml:space="preserve"> ve bakmalıyım arasındaki anlam farkı nedir. 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77777777" w:rsidR="008C45D3" w:rsidRPr="00286FC6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286FC6">
              <w:rPr>
                <w:b/>
                <w:bCs/>
                <w:i/>
                <w:iCs/>
              </w:rPr>
              <w:t>Plana ilişkin açıklamalar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286FC6" w:rsidRDefault="008C45D3" w:rsidP="00D0104E">
            <w:pPr>
              <w:spacing w:after="160" w:line="259" w:lineRule="auto"/>
            </w:pPr>
            <w:r w:rsidRPr="00AB4371"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77777777" w:rsidR="008C45D3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7EBDA185" w14:textId="77777777" w:rsidR="00B122D3" w:rsidRDefault="00B122D3" w:rsidP="00D0104E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 w:rsidRPr="00B122D3">
              <w:rPr>
                <w:b/>
                <w:bCs/>
                <w:color w:val="7030A0"/>
              </w:rPr>
              <w:t>31 Ekim- 4 Kasım 2022</w:t>
            </w:r>
          </w:p>
          <w:p w14:paraId="0C453846" w14:textId="4D95968E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347207DF" w:rsidR="008C45D3" w:rsidRPr="008629A4" w:rsidRDefault="008C45D3" w:rsidP="00734168">
      <w:pPr>
        <w:jc w:val="center"/>
        <w:rPr>
          <w:b/>
          <w:bCs/>
          <w:color w:val="7030A0"/>
          <w:sz w:val="24"/>
          <w:szCs w:val="24"/>
        </w:rPr>
      </w:pPr>
    </w:p>
    <w:sectPr w:rsidR="008C45D3" w:rsidRPr="0086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F05"/>
    <w:rsid w:val="00041D1D"/>
    <w:rsid w:val="000447D8"/>
    <w:rsid w:val="00061E20"/>
    <w:rsid w:val="0009758B"/>
    <w:rsid w:val="000A3E5C"/>
    <w:rsid w:val="000C6171"/>
    <w:rsid w:val="001162A6"/>
    <w:rsid w:val="001345CB"/>
    <w:rsid w:val="0014171F"/>
    <w:rsid w:val="001865F7"/>
    <w:rsid w:val="00187318"/>
    <w:rsid w:val="001A7760"/>
    <w:rsid w:val="001D5EE9"/>
    <w:rsid w:val="001E3479"/>
    <w:rsid w:val="00217034"/>
    <w:rsid w:val="00243C9D"/>
    <w:rsid w:val="00247A26"/>
    <w:rsid w:val="00255B63"/>
    <w:rsid w:val="002703DE"/>
    <w:rsid w:val="00290F3E"/>
    <w:rsid w:val="002948EB"/>
    <w:rsid w:val="002A36ED"/>
    <w:rsid w:val="002F36BB"/>
    <w:rsid w:val="002F42F6"/>
    <w:rsid w:val="00324185"/>
    <w:rsid w:val="00324A6F"/>
    <w:rsid w:val="00346B3E"/>
    <w:rsid w:val="003518F0"/>
    <w:rsid w:val="00370D07"/>
    <w:rsid w:val="0037248A"/>
    <w:rsid w:val="0038191C"/>
    <w:rsid w:val="003F7C31"/>
    <w:rsid w:val="00404D50"/>
    <w:rsid w:val="00452B16"/>
    <w:rsid w:val="004650D2"/>
    <w:rsid w:val="0047329F"/>
    <w:rsid w:val="004971F5"/>
    <w:rsid w:val="004E41F2"/>
    <w:rsid w:val="00511C2E"/>
    <w:rsid w:val="005214D8"/>
    <w:rsid w:val="00543140"/>
    <w:rsid w:val="00572601"/>
    <w:rsid w:val="005C16B2"/>
    <w:rsid w:val="00605FA4"/>
    <w:rsid w:val="0062531B"/>
    <w:rsid w:val="00662416"/>
    <w:rsid w:val="00671129"/>
    <w:rsid w:val="00676FE1"/>
    <w:rsid w:val="00690E67"/>
    <w:rsid w:val="006A13B6"/>
    <w:rsid w:val="006E016B"/>
    <w:rsid w:val="006E25CF"/>
    <w:rsid w:val="00734168"/>
    <w:rsid w:val="00740B65"/>
    <w:rsid w:val="00764CE1"/>
    <w:rsid w:val="00772784"/>
    <w:rsid w:val="007A5C22"/>
    <w:rsid w:val="007B6AA0"/>
    <w:rsid w:val="007E5C32"/>
    <w:rsid w:val="00805A04"/>
    <w:rsid w:val="00896FB0"/>
    <w:rsid w:val="008C45D3"/>
    <w:rsid w:val="008C674E"/>
    <w:rsid w:val="008D2899"/>
    <w:rsid w:val="009213F4"/>
    <w:rsid w:val="00994DBE"/>
    <w:rsid w:val="009B322B"/>
    <w:rsid w:val="009E4896"/>
    <w:rsid w:val="009E7F0B"/>
    <w:rsid w:val="00A34B05"/>
    <w:rsid w:val="00A3568C"/>
    <w:rsid w:val="00A442F6"/>
    <w:rsid w:val="00A61D7A"/>
    <w:rsid w:val="00AA2DCF"/>
    <w:rsid w:val="00AA55A8"/>
    <w:rsid w:val="00AC0349"/>
    <w:rsid w:val="00B122D3"/>
    <w:rsid w:val="00B22284"/>
    <w:rsid w:val="00B416D6"/>
    <w:rsid w:val="00B75DD4"/>
    <w:rsid w:val="00B91047"/>
    <w:rsid w:val="00BA0828"/>
    <w:rsid w:val="00C02D01"/>
    <w:rsid w:val="00C0442E"/>
    <w:rsid w:val="00CA143F"/>
    <w:rsid w:val="00CC753D"/>
    <w:rsid w:val="00D44783"/>
    <w:rsid w:val="00DC389F"/>
    <w:rsid w:val="00DD0EDC"/>
    <w:rsid w:val="00DE516B"/>
    <w:rsid w:val="00DE7D1A"/>
    <w:rsid w:val="00E658B9"/>
    <w:rsid w:val="00E8686C"/>
    <w:rsid w:val="00EB3FA0"/>
    <w:rsid w:val="00EB7F09"/>
    <w:rsid w:val="00EC4AC6"/>
    <w:rsid w:val="00EC6CCB"/>
    <w:rsid w:val="00F06B69"/>
    <w:rsid w:val="00F746AE"/>
    <w:rsid w:val="00F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101</cp:revision>
  <dcterms:created xsi:type="dcterms:W3CDTF">2022-10-01T09:17:00Z</dcterms:created>
  <dcterms:modified xsi:type="dcterms:W3CDTF">2022-10-29T12:11:00Z</dcterms:modified>
</cp:coreProperties>
</file>