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B16C38">
        <w:tc>
          <w:tcPr>
            <w:tcW w:w="1838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77777777" w:rsidR="007847C2" w:rsidRPr="00164442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79975EC9" w:rsidR="007847C2" w:rsidRPr="00653322" w:rsidRDefault="001C1A82" w:rsidP="00D0104E">
            <w:pPr>
              <w:jc w:val="center"/>
              <w:rPr>
                <w:b/>
                <w:bCs/>
              </w:rPr>
            </w:pPr>
            <w:r w:rsidRPr="004168E3">
              <w:rPr>
                <w:b/>
                <w:bCs/>
                <w:color w:val="7030A0"/>
              </w:rPr>
              <w:t>MİLLÎ MÜCADALE VE ATATÜRK</w:t>
            </w:r>
          </w:p>
        </w:tc>
      </w:tr>
      <w:tr w:rsidR="007847C2" w14:paraId="115B190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62AEEEA1" w:rsidR="007847C2" w:rsidRDefault="00F8048D" w:rsidP="00D0104E">
            <w:pPr>
              <w:jc w:val="center"/>
            </w:pPr>
            <w:r w:rsidRPr="00F8048D">
              <w:rPr>
                <w:b/>
                <w:bCs/>
                <w:color w:val="C00000"/>
              </w:rPr>
              <w:t>MUSTAFA KEMAL'İN KAĞNISI</w:t>
            </w:r>
          </w:p>
        </w:tc>
      </w:tr>
      <w:tr w:rsidR="007847C2" w14:paraId="1EE574E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0890BE22" w:rsidR="007847C2" w:rsidRPr="00A65A3E" w:rsidRDefault="00F8048D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</w:t>
            </w:r>
            <w:r w:rsidR="004168E3">
              <w:rPr>
                <w:b/>
                <w:bCs/>
              </w:rPr>
              <w:t>21 EKİM</w:t>
            </w:r>
            <w:r w:rsidR="00577A26">
              <w:rPr>
                <w:b/>
                <w:bCs/>
              </w:rPr>
              <w:t xml:space="preserve"> 2022</w:t>
            </w:r>
          </w:p>
        </w:tc>
      </w:tr>
      <w:tr w:rsidR="007847C2" w14:paraId="03F8DBA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1606743" w14:textId="77777777" w:rsidR="00F06F7E" w:rsidRDefault="00F06F7E" w:rsidP="00F06F7E">
            <w:r>
              <w:t>T.5.3.2. Metni türün özelliklerine uygun biçimde okur.</w:t>
            </w:r>
          </w:p>
          <w:p w14:paraId="43CCF44E" w14:textId="0E38D992" w:rsidR="00F06F7E" w:rsidRDefault="00F06F7E" w:rsidP="00F06F7E">
            <w:r>
              <w:t>T.4.3.2. Vurgu, tonlama ve telaffuza dikkat ederek okur.</w:t>
            </w:r>
          </w:p>
          <w:p w14:paraId="28C51A3F" w14:textId="77777777" w:rsidR="00F06F7E" w:rsidRDefault="00F06F7E" w:rsidP="00F06F7E">
            <w:r>
              <w:t>T.5.3.5. Bağlamdan yararlanarak</w:t>
            </w:r>
          </w:p>
          <w:p w14:paraId="2C8CA86C" w14:textId="77777777" w:rsidR="00F06F7E" w:rsidRDefault="00F06F7E" w:rsidP="00F06F7E">
            <w:r>
              <w:t>bilmediği kelime ve kelime gruplarının anlamını tahmin eder.</w:t>
            </w:r>
          </w:p>
          <w:p w14:paraId="6BE5F48A" w14:textId="4174F94D" w:rsidR="00F06F7E" w:rsidRDefault="00F06F7E" w:rsidP="00F06F7E">
            <w:r>
              <w:t>T.5.3.7. Kelimelerin eş anlamlılarını bulur.</w:t>
            </w:r>
          </w:p>
          <w:p w14:paraId="6FE35448" w14:textId="77777777" w:rsidR="00F06F7E" w:rsidRDefault="00F06F7E" w:rsidP="00F06F7E">
            <w:r>
              <w:t>T.5.3.14. Metnin ana fikrini/ana duygusunu belirler.</w:t>
            </w:r>
          </w:p>
          <w:p w14:paraId="7F253B9F" w14:textId="77777777" w:rsidR="00F06F7E" w:rsidRDefault="00F06F7E" w:rsidP="00F06F7E">
            <w:r>
              <w:t>T.5.3.17. Metni yorumlar.</w:t>
            </w:r>
          </w:p>
          <w:p w14:paraId="526D5180" w14:textId="77777777" w:rsidR="00F06F7E" w:rsidRDefault="00F06F7E" w:rsidP="00F06F7E">
            <w:r>
              <w:t>T.5.3.19. Metinle ilgili sorulara cevap verir.</w:t>
            </w:r>
          </w:p>
          <w:p w14:paraId="46DC7663" w14:textId="77777777" w:rsidR="00F06F7E" w:rsidRDefault="00F06F7E" w:rsidP="00F06F7E">
            <w:r>
              <w:t>T.5.3.22. Görsellerle ilgili soruları cevaplar.</w:t>
            </w:r>
          </w:p>
          <w:p w14:paraId="35BD2DB8" w14:textId="12B69A78" w:rsidR="00A9591D" w:rsidRPr="00B51ADE" w:rsidRDefault="00F06F7E" w:rsidP="00F06F7E">
            <w:r>
              <w:t>T.5.3.32. Metindeki söz sanatlarını tespit eder. (Kişileştirme)</w:t>
            </w:r>
            <w:r w:rsidR="00092DD5" w:rsidRPr="00B51ADE">
              <w:t>.</w:t>
            </w:r>
          </w:p>
        </w:tc>
      </w:tr>
      <w:tr w:rsidR="007847C2" w14:paraId="58754097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2C97D93A" w14:textId="125D50B7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 xml:space="preserve">Soru-cevap, anlatım, açıklamalı okuma, dinleme, açıklayıcı anlatım, not alma, inceleme, uygulama, problem çözme, </w:t>
            </w:r>
            <w:proofErr w:type="spellStart"/>
            <w:proofErr w:type="gramStart"/>
            <w:r w:rsidR="005044E0">
              <w:rPr>
                <w:b/>
                <w:bCs/>
              </w:rPr>
              <w:t>iir</w:t>
            </w:r>
            <w:proofErr w:type="spellEnd"/>
            <w:r w:rsidR="005044E0">
              <w:rPr>
                <w:b/>
                <w:bCs/>
              </w:rPr>
              <w:t xml:space="preserve"> </w:t>
            </w:r>
            <w:r w:rsidRPr="001402AA">
              <w:rPr>
                <w:b/>
                <w:bCs/>
              </w:rPr>
              <w:t>,</w:t>
            </w:r>
            <w:proofErr w:type="gramEnd"/>
            <w:r w:rsidRPr="001402AA">
              <w:rPr>
                <w:b/>
                <w:bCs/>
              </w:rPr>
              <w:t xml:space="preserve"> beyin fırtınası…</w:t>
            </w:r>
          </w:p>
        </w:tc>
      </w:tr>
      <w:tr w:rsidR="007847C2" w14:paraId="59D62E65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1E631B1A" w:rsidR="007847C2" w:rsidRDefault="00A93E08" w:rsidP="00D0104E">
            <w:r>
              <w:rPr>
                <w:sz w:val="24"/>
                <w:szCs w:val="24"/>
              </w:rPr>
              <w:t xml:space="preserve"> Kurtuluş Savaşı ifadesinden ne anlıyorsunuz denilerek derse başlanır. </w:t>
            </w:r>
            <w:r w:rsidR="00167186">
              <w:rPr>
                <w:sz w:val="24"/>
                <w:szCs w:val="24"/>
              </w:rPr>
              <w:t xml:space="preserve">Metnin okunup okutulmasından sonra </w:t>
            </w:r>
            <w:r w:rsidR="00C27C69">
              <w:rPr>
                <w:sz w:val="24"/>
                <w:szCs w:val="24"/>
              </w:rPr>
              <w:t xml:space="preserve">anlamı verilen sözcüklerle anlamları eşleştirilir ve metni kavramaya yönelik sorular yanıtlanır. </w:t>
            </w:r>
            <w:r w:rsidR="003056BB">
              <w:rPr>
                <w:sz w:val="24"/>
                <w:szCs w:val="24"/>
              </w:rPr>
              <w:t xml:space="preserve">Şiirin bize çağrıştırdıklarını ve hissettirdiklerini belirledikten </w:t>
            </w:r>
            <w:proofErr w:type="spellStart"/>
            <w:r w:rsidR="003056BB">
              <w:rPr>
                <w:sz w:val="24"/>
                <w:szCs w:val="24"/>
              </w:rPr>
              <w:t>sonra</w:t>
            </w:r>
            <w:r w:rsidR="004B67F5">
              <w:rPr>
                <w:sz w:val="24"/>
                <w:szCs w:val="24"/>
              </w:rPr>
              <w:t>Elif’in</w:t>
            </w:r>
            <w:proofErr w:type="spellEnd"/>
            <w:r w:rsidR="004B67F5">
              <w:rPr>
                <w:sz w:val="24"/>
                <w:szCs w:val="24"/>
              </w:rPr>
              <w:t xml:space="preserve"> fiziksel özellikleri belirlenerek Onun yerinde olsaydık ne yapacağımızın belirlenmesine geçilecek. </w:t>
            </w:r>
            <w:r w:rsidR="00BF7A14">
              <w:rPr>
                <w:sz w:val="24"/>
                <w:szCs w:val="24"/>
              </w:rPr>
              <w:t xml:space="preserve">Kelimelerin eş anlamlıları bulunacak. </w:t>
            </w:r>
            <w:r w:rsidR="00A0277A">
              <w:rPr>
                <w:sz w:val="24"/>
                <w:szCs w:val="24"/>
              </w:rPr>
              <w:t xml:space="preserve">Kişileştirme yapılan dizeler bulunacak ve </w:t>
            </w:r>
            <w:r w:rsidR="00083129">
              <w:rPr>
                <w:sz w:val="24"/>
                <w:szCs w:val="24"/>
              </w:rPr>
              <w:t xml:space="preserve">verilen iki görsel incelenecek. Soru işaretinin kullanıldığı yerler bulunacak. </w:t>
            </w:r>
            <w:r w:rsidR="004D6598">
              <w:rPr>
                <w:sz w:val="24"/>
                <w:szCs w:val="24"/>
              </w:rPr>
              <w:t xml:space="preserve">Son olarak </w:t>
            </w:r>
            <w:r w:rsidR="0033230D">
              <w:rPr>
                <w:sz w:val="24"/>
                <w:szCs w:val="24"/>
              </w:rPr>
              <w:t>Mustafa</w:t>
            </w:r>
            <w:r w:rsidR="004D6598">
              <w:rPr>
                <w:sz w:val="24"/>
                <w:szCs w:val="24"/>
              </w:rPr>
              <w:t xml:space="preserve"> </w:t>
            </w:r>
            <w:r w:rsidR="0033230D">
              <w:rPr>
                <w:sz w:val="24"/>
                <w:szCs w:val="24"/>
              </w:rPr>
              <w:t>Kemal’in</w:t>
            </w:r>
            <w:r w:rsidR="004D6598">
              <w:rPr>
                <w:sz w:val="24"/>
                <w:szCs w:val="24"/>
              </w:rPr>
              <w:t xml:space="preserve"> </w:t>
            </w:r>
            <w:r w:rsidR="0033230D">
              <w:rPr>
                <w:sz w:val="24"/>
                <w:szCs w:val="24"/>
              </w:rPr>
              <w:t xml:space="preserve">Kağnısı </w:t>
            </w:r>
            <w:r w:rsidR="004D6598">
              <w:rPr>
                <w:sz w:val="24"/>
                <w:szCs w:val="24"/>
              </w:rPr>
              <w:t xml:space="preserve">adlı metin düz yazıya çevrilecek. </w:t>
            </w:r>
          </w:p>
        </w:tc>
      </w:tr>
      <w:tr w:rsidR="007847C2" w14:paraId="1BE44DE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77777777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B250BF">
              <w:rPr>
                <w:b/>
                <w:bCs/>
              </w:rPr>
              <w:t>ÖLÇME VE DEĞERLENDİRME</w:t>
            </w:r>
          </w:p>
        </w:tc>
      </w:tr>
      <w:tr w:rsidR="007847C2" w14:paraId="07D8758E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531EB7D6" w:rsidR="007847C2" w:rsidRDefault="00507393" w:rsidP="00D0104E">
            <w:r>
              <w:t xml:space="preserve">Nokta, virgül ve soru işareti ile ilgili testler çözülecek. </w:t>
            </w:r>
          </w:p>
        </w:tc>
      </w:tr>
      <w:tr w:rsidR="007847C2" w14:paraId="02FCDFA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77777777" w:rsidR="007847C2" w:rsidRDefault="007847C2" w:rsidP="00D0104E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7847C2" w14:paraId="2F855226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7ED8AF9A" w:rsidR="007847C2" w:rsidRPr="00EE309D" w:rsidRDefault="00507393" w:rsidP="00D0104E">
            <w:pPr>
              <w:jc w:val="center"/>
              <w:rPr>
                <w:b/>
                <w:bCs/>
                <w:i/>
                <w:iCs/>
              </w:rPr>
            </w:pPr>
            <w:r w:rsidRPr="00507393">
              <w:rPr>
                <w:b/>
                <w:bCs/>
                <w:i/>
                <w:iCs/>
              </w:rPr>
              <w:t>17-21 EKİM 2022</w:t>
            </w:r>
          </w:p>
        </w:tc>
      </w:tr>
      <w:tr w:rsidR="007847C2" w14:paraId="3A6E1B48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double" w:sz="18" w:space="0" w:color="ED7D31" w:themeColor="accent2"/>
              <w:right w:val="single" w:sz="4" w:space="0" w:color="FF0000"/>
            </w:tcBorders>
            <w:shd w:val="clear" w:color="auto" w:fill="FFFFCC"/>
          </w:tcPr>
          <w:p w14:paraId="0D30B410" w14:textId="77777777" w:rsidR="007847C2" w:rsidRDefault="007847C2" w:rsidP="00D0104E">
            <w:pPr>
              <w:jc w:val="center"/>
              <w:rPr>
                <w:b/>
                <w:bCs/>
              </w:rPr>
            </w:pPr>
          </w:p>
          <w:p w14:paraId="207893EB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10AB910A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GÜNLÜK </w:t>
      </w:r>
      <w:r w:rsidR="005B1BEB" w:rsidRPr="007847C2">
        <w:rPr>
          <w:b/>
          <w:bCs/>
          <w:color w:val="7030A0"/>
          <w:sz w:val="24"/>
          <w:szCs w:val="24"/>
        </w:rPr>
        <w:t>PL</w:t>
      </w:r>
      <w:r w:rsidR="005B1BEB">
        <w:rPr>
          <w:b/>
          <w:bCs/>
          <w:color w:val="7030A0"/>
          <w:sz w:val="24"/>
          <w:szCs w:val="24"/>
        </w:rPr>
        <w:t>A</w:t>
      </w:r>
      <w:r w:rsidR="005B1BEB" w:rsidRPr="007847C2">
        <w:rPr>
          <w:b/>
          <w:bCs/>
          <w:color w:val="7030A0"/>
          <w:sz w:val="24"/>
          <w:szCs w:val="24"/>
        </w:rPr>
        <w:t>NI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21BB0"/>
    <w:rsid w:val="00083129"/>
    <w:rsid w:val="00092DD5"/>
    <w:rsid w:val="000A14FE"/>
    <w:rsid w:val="00167186"/>
    <w:rsid w:val="001A3933"/>
    <w:rsid w:val="001C1A82"/>
    <w:rsid w:val="001E0709"/>
    <w:rsid w:val="003056BB"/>
    <w:rsid w:val="0033230D"/>
    <w:rsid w:val="003E69B8"/>
    <w:rsid w:val="004168E3"/>
    <w:rsid w:val="004B67F5"/>
    <w:rsid w:val="004D6598"/>
    <w:rsid w:val="005044E0"/>
    <w:rsid w:val="00507393"/>
    <w:rsid w:val="00577A26"/>
    <w:rsid w:val="005B1BEB"/>
    <w:rsid w:val="00680691"/>
    <w:rsid w:val="007847C2"/>
    <w:rsid w:val="007B6AA0"/>
    <w:rsid w:val="00905519"/>
    <w:rsid w:val="00A0277A"/>
    <w:rsid w:val="00A93E08"/>
    <w:rsid w:val="00A9591D"/>
    <w:rsid w:val="00B16C38"/>
    <w:rsid w:val="00B51ADE"/>
    <w:rsid w:val="00BF7A14"/>
    <w:rsid w:val="00C27C69"/>
    <w:rsid w:val="00CB2194"/>
    <w:rsid w:val="00D173A4"/>
    <w:rsid w:val="00D45D8C"/>
    <w:rsid w:val="00ED7549"/>
    <w:rsid w:val="00F06F7E"/>
    <w:rsid w:val="00F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34</cp:revision>
  <dcterms:created xsi:type="dcterms:W3CDTF">2022-10-01T09:22:00Z</dcterms:created>
  <dcterms:modified xsi:type="dcterms:W3CDTF">2022-10-15T07:59:00Z</dcterms:modified>
</cp:coreProperties>
</file>